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182AA8">
      <w:pPr>
        <w:spacing w:line="506" w:lineRule="auto"/>
        <w:ind w:left="5097" w:right="553" w:firstLine="139"/>
        <w:rPr>
          <w:b/>
          <w:sz w:val="18"/>
        </w:rPr>
      </w:pPr>
      <w:r w:rsidRPr="00182AA8">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182AA8">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82AA8">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A932D6">
        <w:rPr>
          <w:b/>
          <w:sz w:val="18"/>
        </w:rPr>
        <w:t xml:space="preserve">Notice Inviting Tender No. </w:t>
      </w:r>
      <w:r w:rsidR="00DB5EC8">
        <w:rPr>
          <w:b/>
          <w:sz w:val="18"/>
        </w:rPr>
        <w:t>2</w:t>
      </w:r>
      <w:r w:rsidR="00811AA9">
        <w:rPr>
          <w:b/>
          <w:sz w:val="18"/>
        </w:rPr>
        <w:t>5</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182AA8" w:rsidP="00506F06">
      <w:pPr>
        <w:spacing w:before="7" w:line="360" w:lineRule="auto"/>
        <w:ind w:left="1350" w:right="2145"/>
        <w:jc w:val="center"/>
        <w:rPr>
          <w:rFonts w:ascii="Carlito"/>
          <w:b/>
          <w:sz w:val="46"/>
        </w:rPr>
      </w:pPr>
      <w:r w:rsidRPr="00182AA8">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182AA8">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182AA8">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182AA8">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182AA8">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182AA8">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182AA8">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182AA8">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182AA8">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182AA8">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182AA8">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182AA8">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182AA8">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Pr="009245DB" w:rsidRDefault="00403155">
      <w:pPr>
        <w:spacing w:line="276" w:lineRule="auto"/>
        <w:ind w:left="2241" w:hanging="1801"/>
        <w:rPr>
          <w:sz w:val="24"/>
          <w:szCs w:val="24"/>
        </w:rPr>
      </w:pPr>
      <w:r>
        <w:rPr>
          <w:rFonts w:ascii="Times New Roman" w:hAnsi="Times New Roman"/>
          <w:b/>
          <w:sz w:val="18"/>
        </w:rPr>
        <w:t>NAME OF WORK</w:t>
      </w:r>
      <w:r w:rsidR="00A932D6">
        <w:rPr>
          <w:rFonts w:ascii="Times New Roman" w:hAnsi="Times New Roman"/>
          <w:b/>
          <w:sz w:val="18"/>
        </w:rPr>
        <w:t>:</w:t>
      </w:r>
      <w:r>
        <w:rPr>
          <w:rFonts w:ascii="Times New Roman" w:hAnsi="Times New Roman"/>
          <w:b/>
          <w:sz w:val="18"/>
        </w:rPr>
        <w:t xml:space="preserve"> </w:t>
      </w:r>
      <w:r w:rsidR="00F0074C">
        <w:rPr>
          <w:rFonts w:ascii="Times New Roman" w:hAnsi="Times New Roman"/>
          <w:b/>
          <w:sz w:val="18"/>
        </w:rPr>
        <w:t xml:space="preserve"> </w:t>
      </w:r>
      <w:r w:rsidR="00811AA9" w:rsidRPr="00933172">
        <w:t>Miscellaneous Civil repair &amp; maintenance works, Construction of new shed, Construction of drain at Electricity Transformer repair workshop, Ghunna Distt. Saharanpur.</w:t>
      </w: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182AA8">
      <w:pPr>
        <w:pStyle w:val="BodyText"/>
        <w:rPr>
          <w:b/>
        </w:rPr>
      </w:pPr>
      <w:r w:rsidRPr="00182AA8">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82AA8">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182AA8"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811AA9" w:rsidRPr="00811AA9" w:rsidRDefault="00403155" w:rsidP="00811AA9">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811AA9" w:rsidRPr="00933172">
        <w:t xml:space="preserve">Miscellaneous Civil repair &amp; maintenance works, </w:t>
      </w:r>
    </w:p>
    <w:p w:rsidR="00811AA9" w:rsidRDefault="00811AA9" w:rsidP="00811AA9">
      <w:pPr>
        <w:pStyle w:val="ListParagraph"/>
        <w:tabs>
          <w:tab w:val="left" w:pos="1201"/>
          <w:tab w:val="left" w:pos="1202"/>
          <w:tab w:val="left" w:pos="4401"/>
          <w:tab w:val="left" w:pos="4761"/>
        </w:tabs>
        <w:spacing w:before="67"/>
        <w:ind w:left="1212" w:firstLine="0"/>
        <w:jc w:val="left"/>
      </w:pPr>
      <w:r>
        <w:tab/>
      </w:r>
      <w:r>
        <w:tab/>
      </w:r>
      <w:r w:rsidRPr="00933172">
        <w:t xml:space="preserve">Construction of new shed, Construction of drain at </w:t>
      </w:r>
    </w:p>
    <w:p w:rsidR="00811AA9" w:rsidRDefault="00811AA9" w:rsidP="00811AA9">
      <w:pPr>
        <w:pStyle w:val="ListParagraph"/>
        <w:tabs>
          <w:tab w:val="left" w:pos="1201"/>
          <w:tab w:val="left" w:pos="1202"/>
          <w:tab w:val="left" w:pos="4401"/>
          <w:tab w:val="left" w:pos="4761"/>
        </w:tabs>
        <w:spacing w:before="67"/>
        <w:ind w:left="1212" w:firstLine="0"/>
        <w:jc w:val="left"/>
      </w:pPr>
      <w:r>
        <w:tab/>
      </w:r>
      <w:r>
        <w:tab/>
      </w:r>
      <w:r w:rsidRPr="00933172">
        <w:t xml:space="preserve">Electricity Transformer repair workshop, Ghunna </w:t>
      </w:r>
      <w:r>
        <w:t>+</w:t>
      </w:r>
    </w:p>
    <w:p w:rsidR="00223CCE" w:rsidRPr="009768C2" w:rsidRDefault="00811AA9" w:rsidP="00811AA9">
      <w:pPr>
        <w:pStyle w:val="ListParagraph"/>
        <w:tabs>
          <w:tab w:val="left" w:pos="1201"/>
          <w:tab w:val="left" w:pos="1202"/>
          <w:tab w:val="left" w:pos="4401"/>
          <w:tab w:val="left" w:pos="4761"/>
        </w:tabs>
        <w:spacing w:before="67"/>
        <w:ind w:left="1212" w:firstLine="0"/>
        <w:jc w:val="left"/>
        <w:rPr>
          <w:rFonts w:ascii="Times New Roman"/>
          <w:sz w:val="24"/>
        </w:rPr>
      </w:pPr>
      <w:r>
        <w:tab/>
      </w:r>
      <w:r>
        <w:tab/>
      </w:r>
      <w:r w:rsidRPr="00933172">
        <w:t>Distt. Saharanpur.</w:t>
      </w:r>
      <w:r w:rsidR="009768C2" w:rsidRPr="009768C2">
        <w:t>.</w:t>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r>
        <w:t>Shri/M/s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r>
        <w:t>document</w:t>
      </w:r>
      <w:r>
        <w:rPr>
          <w:spacing w:val="48"/>
        </w:rPr>
        <w:t xml:space="preserve"> </w:t>
      </w:r>
      <w:r>
        <w:t>:</w:t>
      </w:r>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of start</w:t>
      </w:r>
      <w:r>
        <w:tab/>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r>
        <w:t>completion</w:t>
      </w:r>
      <w:r>
        <w:rPr>
          <w:spacing w:val="41"/>
        </w:rPr>
        <w:t xml:space="preserve"> </w:t>
      </w:r>
      <w:r>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182AA8">
      <w:pPr>
        <w:pStyle w:val="BodyText"/>
        <w:spacing w:before="5"/>
        <w:rPr>
          <w:b/>
          <w:sz w:val="25"/>
        </w:rPr>
      </w:pPr>
      <w:r w:rsidRPr="00182AA8">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r>
                    <w:rPr>
                      <w:b/>
                      <w:sz w:val="26"/>
                    </w:rPr>
                    <w:t>Sl.</w:t>
                  </w:r>
                  <w:r>
                    <w:rPr>
                      <w:b/>
                      <w:spacing w:val="-4"/>
                      <w:sz w:val="26"/>
                    </w:rPr>
                    <w:t xml:space="preserve"> </w:t>
                  </w:r>
                  <w:r>
                    <w:rPr>
                      <w:b/>
                      <w:sz w:val="26"/>
                    </w:rPr>
                    <w:t>No.</w:t>
                  </w:r>
                  <w:r>
                    <w:rPr>
                      <w:b/>
                      <w:sz w:val="26"/>
                    </w:rPr>
                    <w:tab/>
                    <w:t>Particulars</w:t>
                  </w:r>
                  <w:r>
                    <w:rPr>
                      <w:b/>
                      <w:sz w:val="26"/>
                    </w:rPr>
                    <w:tab/>
                    <w:t>Page No.</w:t>
                  </w:r>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r>
        <w:t>tenderers</w:t>
      </w:r>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r>
        <w:t>Schedule of consumption</w:t>
      </w:r>
      <w:r>
        <w:rPr>
          <w:spacing w:val="-5"/>
        </w:rPr>
        <w:t xml:space="preserve"> </w:t>
      </w:r>
      <w:r>
        <w:t>of</w:t>
      </w:r>
      <w:r>
        <w:rPr>
          <w:spacing w:val="-1"/>
        </w:rPr>
        <w:t xml:space="preserve"> </w:t>
      </w:r>
      <w:r>
        <w:t>materials.</w:t>
      </w:r>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Before submitting the offer, the tenderer is supposed to inspect the site of work and acquaint himself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No compensation shall be admissible to the successful tenderer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The tenderer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the tenderer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The earnest money shall only be in the form of Fixed Deposit Receipt or Call Deposit Receipt or National Savings Certificates duly pledged in favour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‘Part-II’ of the tender shall contain the quoted price/prices on the tender document at the place prescribed exclusively for this purpose. The price/prices should not be quoted any where else,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The tenderer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r>
        <w:rPr>
          <w:sz w:val="20"/>
        </w:rPr>
        <w:t xml:space="preserve">the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No part of the tender document shall be taken out and it’s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In case of tenderer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The right of acceptance of the tender will rest with undersigned who does not bind himself to accept the lowest tender and reserves to himself the right to reject any or all the tenders received without assigning any reason thereof or to split up the whole work to more than one tenderness’.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be awarded to the successful tenderer at the discretion of the undersigned without assigning any reason thereof. The tenderer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182AA8">
      <w:pPr>
        <w:pStyle w:val="ListParagraph"/>
        <w:numPr>
          <w:ilvl w:val="0"/>
          <w:numId w:val="17"/>
        </w:numPr>
        <w:tabs>
          <w:tab w:val="left" w:pos="1521"/>
        </w:tabs>
        <w:spacing w:before="78" w:line="232" w:lineRule="auto"/>
        <w:ind w:right="227"/>
        <w:rPr>
          <w:sz w:val="20"/>
        </w:rPr>
      </w:pPr>
      <w:r w:rsidRPr="00182AA8">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tenderer must give his full postal address below the signatures on the </w:t>
      </w:r>
      <w:r w:rsidR="00403155">
        <w:rPr>
          <w:spacing w:val="2"/>
          <w:sz w:val="20"/>
        </w:rPr>
        <w:t xml:space="preserve">“Bill </w:t>
      </w:r>
      <w:r w:rsidR="00403155">
        <w:rPr>
          <w:sz w:val="20"/>
        </w:rPr>
        <w:t>of Quantities” after quoting his rates. All future correspondence regarding this tender shall be done with him through his postal address and if any letter/information is not received to him, it will be the sole responsibility of the tenderer. If any registered letter returns back with the remarks that the address does not exist or the tenderer/contractor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Contract Agreement shall be executed on non-judicial stamp papers value of which shall be determined on one of the following rates, as the case may be, on the total security amount to be calculated as per clause no. (1) of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182AA8">
      <w:pPr>
        <w:pStyle w:val="BodyText"/>
        <w:rPr>
          <w:sz w:val="28"/>
        </w:rPr>
      </w:pPr>
      <w:r w:rsidRPr="00182AA8">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182AA8" w:rsidRPr="00182AA8">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r>
        <w:t>Working experience for last 3</w:t>
      </w:r>
      <w:r>
        <w:rPr>
          <w:spacing w:val="-3"/>
        </w:rPr>
        <w:t xml:space="preserve"> </w:t>
      </w:r>
      <w:r>
        <w:t>years.</w:t>
      </w:r>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Cost (Rs. In lacs)</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Name   &amp;   Address   of   officer  under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r>
        <w:t>Notes</w:t>
      </w:r>
      <w:r>
        <w:rPr>
          <w:spacing w:val="-1"/>
        </w:rPr>
        <w:t xml:space="preserve"> </w:t>
      </w:r>
      <w:r>
        <w:t>:</w:t>
      </w:r>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U.P. Power Corporation Limited and the Contractor, together with the documents referred to thereon, including these conditions, designs, drawings and instructions issued from time to time by the engineer incharge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The “corporation” shall mean the U.P. Power Corporation Limited with its headquarter office at 14. Ashok Marg. Licknow.</w:t>
      </w:r>
    </w:p>
    <w:p w:rsidR="00223CCE" w:rsidRDefault="00403155">
      <w:pPr>
        <w:pStyle w:val="ListParagraph"/>
        <w:numPr>
          <w:ilvl w:val="3"/>
          <w:numId w:val="17"/>
        </w:numPr>
        <w:tabs>
          <w:tab w:val="left" w:pos="1881"/>
        </w:tabs>
        <w:spacing w:before="58"/>
        <w:ind w:right="232"/>
        <w:rPr>
          <w:sz w:val="20"/>
        </w:rPr>
      </w:pPr>
      <w:r>
        <w:rPr>
          <w:sz w:val="20"/>
        </w:rPr>
        <w:t>The “Chairman cum Managing Director” shall mean the Chairman cum Managing Director of U.P. Power Corporation Limited, Lucknow,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The “Works” or “Work” shall unless there be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The “Engineer-in-charge” shall mean the sub Divisional Officer or the Assistant Engineer, as the case may be, who will be incharge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TENDER DOCUMENTS</w:t>
      </w:r>
      <w:r>
        <w:rPr>
          <w:spacing w:val="-3"/>
        </w:rPr>
        <w:t xml:space="preserve"> </w:t>
      </w:r>
      <w:r>
        <w:t>:</w:t>
      </w:r>
    </w:p>
    <w:p w:rsidR="00223CCE" w:rsidRDefault="00403155">
      <w:pPr>
        <w:pStyle w:val="BodyText"/>
        <w:spacing w:before="63"/>
        <w:ind w:left="1880" w:right="224"/>
        <w:jc w:val="both"/>
      </w:pPr>
      <w:r>
        <w:t>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labour and materials, or labour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r>
        <w:t>The party or parties submitting &amp; offering for work covered by the Tender Documents.</w:t>
      </w:r>
    </w:p>
    <w:p w:rsidR="00223CCE" w:rsidRDefault="00403155">
      <w:pPr>
        <w:pStyle w:val="Heading4"/>
        <w:numPr>
          <w:ilvl w:val="3"/>
          <w:numId w:val="17"/>
        </w:numPr>
        <w:tabs>
          <w:tab w:val="left" w:pos="1880"/>
          <w:tab w:val="left" w:pos="1881"/>
        </w:tabs>
        <w:spacing w:before="197"/>
        <w:ind w:hanging="721"/>
      </w:pPr>
      <w:r>
        <w:t>TENDER DRAWINGS</w:t>
      </w:r>
      <w:r>
        <w:rPr>
          <w:spacing w:val="-3"/>
        </w:rPr>
        <w:t xml:space="preserve"> </w:t>
      </w:r>
      <w:r>
        <w:t>:</w:t>
      </w:r>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r>
        <w:t>his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Writing shall include any manuscript, typewritten or printed statement, sketches or drawings to convey information or instructions, under or over the signature and/or seal as the case the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r>
        <w:t>MANUFACTURER</w:t>
      </w:r>
      <w:r>
        <w:rPr>
          <w:spacing w:val="-2"/>
        </w:rPr>
        <w:t xml:space="preserve"> </w:t>
      </w:r>
      <w:r>
        <w:t>:</w:t>
      </w:r>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“Strores”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CONSTRUCTIONAL PLANT</w:t>
      </w:r>
      <w:r>
        <w:rPr>
          <w:spacing w:val="3"/>
        </w:rPr>
        <w:t xml:space="preserve"> </w:t>
      </w:r>
      <w:r>
        <w:t>:</w:t>
      </w:r>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Clause 1</w:t>
      </w:r>
      <w:r>
        <w:rPr>
          <w:spacing w:val="-2"/>
        </w:rPr>
        <w:t xml:space="preserve"> </w:t>
      </w:r>
      <w:r>
        <w:t>:</w:t>
      </w:r>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The contractor shall permit Corporation at the time of making any payment to him for work done under the contract to deduct Ten Percent (10%) sum on account of security deposit as alongwith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be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behelf of the Corporation (whose decision in writing shall be final) </w:t>
      </w:r>
      <w:r>
        <w:rPr>
          <w:spacing w:val="3"/>
        </w:rPr>
        <w:t xml:space="preserve">my </w:t>
      </w:r>
      <w:r>
        <w:t>decide, on the amount of the estimated cost of the whole work shown by the tender, FOR EVERY day that the work remains uncommenced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Clause 3</w:t>
      </w:r>
      <w:r>
        <w:rPr>
          <w:spacing w:val="-2"/>
        </w:rPr>
        <w:t xml:space="preserve"> </w:t>
      </w:r>
      <w:r>
        <w:t>:</w:t>
      </w:r>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unworkman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To employ labour paid by the Department and to supply materials to carry out the works or any part of the work, debiting the contractor with the cost of the labour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form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Clause 4</w:t>
      </w:r>
      <w:r>
        <w:rPr>
          <w:spacing w:val="-2"/>
        </w:rPr>
        <w:t xml:space="preserve"> </w:t>
      </w:r>
      <w:r>
        <w:t>:</w:t>
      </w:r>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r>
        <w:lastRenderedPageBreak/>
        <w:t>compensation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r>
        <w:t>Power to take possession or require removal or sell contractor’s plants.</w:t>
      </w:r>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Clause 5</w:t>
      </w:r>
      <w:r>
        <w:rPr>
          <w:spacing w:val="-2"/>
        </w:rPr>
        <w:t xml:space="preserve"> </w:t>
      </w:r>
      <w:r>
        <w:t>:</w:t>
      </w:r>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
    <w:p w:rsidR="00223CCE" w:rsidRDefault="00223CCE">
      <w:pPr>
        <w:pStyle w:val="BodyText"/>
        <w:spacing w:before="8"/>
      </w:pPr>
    </w:p>
    <w:p w:rsidR="00223CCE" w:rsidRDefault="00403155">
      <w:pPr>
        <w:pStyle w:val="Heading4"/>
        <w:tabs>
          <w:tab w:val="left" w:pos="1880"/>
        </w:tabs>
      </w:pPr>
      <w:r>
        <w:t>Clauses</w:t>
      </w:r>
      <w:r>
        <w:rPr>
          <w:spacing w:val="-2"/>
        </w:rPr>
        <w:t xml:space="preserve"> </w:t>
      </w:r>
      <w:r>
        <w:t>6</w:t>
      </w:r>
      <w:r>
        <w:rPr>
          <w:spacing w:val="-2"/>
        </w:rPr>
        <w:t xml:space="preserve"> </w:t>
      </w:r>
      <w:r>
        <w:t>:</w:t>
      </w:r>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fixed for completion of the work, the Engineer-in-charge may at the expense of the contractor remove such scaffolding, surplus materials and the rubbish and dispose off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r>
        <w:lastRenderedPageBreak/>
        <w:t>dully completed, it shall be mentioned in the report of the Engineer-in-charge certificate so granted. If on the other hand, it is found that there are certain defects to be removed, the report to be sent by Engineer-in-charge shall specifically mention the defects alongwith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Clause 7</w:t>
      </w:r>
      <w:r>
        <w:rPr>
          <w:spacing w:val="-2"/>
        </w:rPr>
        <w:t xml:space="preserve"> </w:t>
      </w:r>
      <w:r>
        <w:t>:</w:t>
      </w:r>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then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upto Rs. 2.00 lacs and in six months if the same exceeds Rs. 2.00 lacs, if there shall be and dispute about any items or items of the work then the undisputed </w:t>
      </w:r>
      <w:r>
        <w:rPr>
          <w:spacing w:val="2"/>
        </w:rPr>
        <w:t xml:space="preserve">item </w:t>
      </w:r>
      <w:r>
        <w:t>or items only shall be paid within the said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Clause 8</w:t>
      </w:r>
      <w:r>
        <w:rPr>
          <w:spacing w:val="-2"/>
        </w:rPr>
        <w:t xml:space="preserve"> </w:t>
      </w:r>
      <w:r>
        <w:t>:</w:t>
      </w:r>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Clause 9</w:t>
      </w:r>
      <w:r>
        <w:rPr>
          <w:spacing w:val="-2"/>
        </w:rPr>
        <w:t xml:space="preserve"> </w:t>
      </w:r>
      <w:r>
        <w:t>:</w:t>
      </w:r>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Before tasking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Clause 10</w:t>
      </w:r>
      <w:r>
        <w:rPr>
          <w:spacing w:val="-2"/>
        </w:rPr>
        <w:t xml:space="preserve"> </w:t>
      </w:r>
      <w:r>
        <w:t>:</w:t>
      </w:r>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Clause 11</w:t>
      </w:r>
      <w:r>
        <w:rPr>
          <w:spacing w:val="-2"/>
        </w:rPr>
        <w:t xml:space="preserve"> </w:t>
      </w:r>
      <w:r>
        <w:t>:</w:t>
      </w:r>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its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 xml:space="preserve">Clause 11 (a) : </w:t>
      </w:r>
      <w:r>
        <w:t>All materials supplied by the Paschimanal Vidyut Vitran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U.P. Power Corporation Limited and shall not on any account be removed from the site of the work, except with the with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The material issued to the contractor by the Paschimanal vidyut Vitran Nigam Ltd. Will remain under custodial possession of the contractor during the execution of work as a  trustee and title on the same will remain with the Paschimanal Vidyut Vitran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 xml:space="preserve">Clause 11 (d) :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 xml:space="preserve">Clause 11 (e) :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Clause 12</w:t>
      </w:r>
      <w:r>
        <w:rPr>
          <w:spacing w:val="-2"/>
        </w:rPr>
        <w:t xml:space="preserve"> </w:t>
      </w:r>
      <w:r>
        <w:t>:</w:t>
      </w:r>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Clause 13</w:t>
      </w:r>
      <w:r>
        <w:rPr>
          <w:spacing w:val="-2"/>
        </w:rPr>
        <w:t xml:space="preserve"> </w:t>
      </w:r>
      <w:r>
        <w:t>:</w:t>
      </w:r>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The Engineer-in-charge shall have power to make any alteration in, omission from, additions to or substitutions for the original SPECIFICATIONS, drawings, designs and instructions that may apperar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 xml:space="preserve">the contract and any altered, additional or substituted work which the contractor may be directed to do in the manner above secofed. </w:t>
      </w:r>
      <w:r>
        <w:rPr>
          <w:rFonts w:ascii="Carlito"/>
        </w:rPr>
        <w:t xml:space="preserve">As </w:t>
      </w:r>
      <w:r>
        <w:t>part of the work, shall be carried out by the contractor on the same conditions in all respects on which the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(i)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(i)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Clause 14</w:t>
      </w:r>
      <w:r>
        <w:rPr>
          <w:spacing w:val="-2"/>
        </w:rPr>
        <w:t xml:space="preserve"> </w:t>
      </w:r>
      <w:r>
        <w:t>:</w:t>
      </w:r>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Clause 15 :Action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Clause 16</w:t>
      </w:r>
      <w:r>
        <w:rPr>
          <w:spacing w:val="-2"/>
        </w:rPr>
        <w:t xml:space="preserve"> </w:t>
      </w:r>
      <w:r>
        <w:t>:</w:t>
      </w:r>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Clause 17</w:t>
      </w:r>
      <w:r>
        <w:rPr>
          <w:spacing w:val="-2"/>
        </w:rPr>
        <w:t xml:space="preserve"> </w:t>
      </w:r>
      <w:r>
        <w:t>:</w:t>
      </w:r>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Clause 18</w:t>
      </w:r>
      <w:r>
        <w:rPr>
          <w:spacing w:val="-2"/>
        </w:rPr>
        <w:t xml:space="preserve"> </w:t>
      </w:r>
      <w:r>
        <w:t>:</w:t>
      </w:r>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The contractor shall give not less then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Clause 19</w:t>
      </w:r>
      <w:r>
        <w:rPr>
          <w:spacing w:val="-2"/>
        </w:rPr>
        <w:t xml:space="preserve"> </w:t>
      </w:r>
      <w:r>
        <w:t>:</w:t>
      </w:r>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Clause 20 :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he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Clause 21</w:t>
      </w:r>
      <w:r>
        <w:rPr>
          <w:spacing w:val="-2"/>
        </w:rPr>
        <w:t xml:space="preserve"> </w:t>
      </w:r>
      <w:r>
        <w:t>:</w:t>
      </w:r>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Clause 22 :</w:t>
      </w:r>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labour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Clause 23 :</w:t>
      </w:r>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The contractor shall pay to his laborer a fair wage and shall supply every labour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The contractor before he commences work shall paste in conspicuous place of the work, a notice giving the rates of wages which shall not be less than he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Clause 24 :</w:t>
      </w:r>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Clause 25 :</w:t>
      </w:r>
    </w:p>
    <w:p w:rsidR="00223CCE" w:rsidRDefault="00223CCE">
      <w:pPr>
        <w:pStyle w:val="BodyText"/>
        <w:spacing w:before="1"/>
        <w:rPr>
          <w:b/>
          <w:sz w:val="21"/>
        </w:rPr>
      </w:pPr>
    </w:p>
    <w:p w:rsidR="00223CCE" w:rsidRDefault="00403155">
      <w:pPr>
        <w:pStyle w:val="BodyText"/>
        <w:ind w:left="1160"/>
        <w:jc w:val="both"/>
      </w:pPr>
      <w:r>
        <w:t>The contractor shall comply with all labour laws as applicable at the site of the work.</w:t>
      </w:r>
    </w:p>
    <w:p w:rsidR="00223CCE" w:rsidRDefault="00223CCE">
      <w:pPr>
        <w:pStyle w:val="BodyText"/>
        <w:spacing w:before="6"/>
      </w:pPr>
    </w:p>
    <w:p w:rsidR="00223CCE" w:rsidRDefault="00403155">
      <w:pPr>
        <w:pStyle w:val="Heading4"/>
      </w:pPr>
      <w:r>
        <w:t>Clause 26 :</w:t>
      </w:r>
    </w:p>
    <w:p w:rsidR="00223CCE" w:rsidRDefault="00223CCE">
      <w:pPr>
        <w:pStyle w:val="BodyText"/>
        <w:spacing w:before="1"/>
        <w:rPr>
          <w:b/>
          <w:sz w:val="21"/>
        </w:rPr>
      </w:pPr>
    </w:p>
    <w:p w:rsidR="00223CCE" w:rsidRDefault="00403155">
      <w:pPr>
        <w:pStyle w:val="BodyText"/>
        <w:ind w:left="1160" w:right="227"/>
        <w:jc w:val="both"/>
      </w:pPr>
      <w:r>
        <w:t>In respect of all labour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Clause 27 :</w:t>
      </w:r>
    </w:p>
    <w:p w:rsidR="00223CCE" w:rsidRDefault="00223CCE">
      <w:pPr>
        <w:pStyle w:val="BodyText"/>
        <w:spacing w:before="10"/>
        <w:rPr>
          <w:b/>
        </w:rPr>
      </w:pPr>
    </w:p>
    <w:p w:rsidR="00223CCE" w:rsidRDefault="00403155">
      <w:pPr>
        <w:pStyle w:val="BodyText"/>
        <w:spacing w:before="1" w:line="242" w:lineRule="auto"/>
        <w:ind w:left="1160" w:right="238"/>
        <w:jc w:val="both"/>
      </w:pPr>
      <w:r>
        <w:t>Leave and pay during leave of all labour employed by the contractor shall be regulated as per provisions of labour laws in force.</w:t>
      </w:r>
    </w:p>
    <w:p w:rsidR="00223CCE" w:rsidRDefault="00223CCE">
      <w:pPr>
        <w:pStyle w:val="BodyText"/>
        <w:spacing w:before="3"/>
      </w:pPr>
    </w:p>
    <w:p w:rsidR="00223CCE" w:rsidRDefault="00403155">
      <w:pPr>
        <w:pStyle w:val="Heading4"/>
      </w:pPr>
      <w:r>
        <w:t>Clause 28 :</w:t>
      </w:r>
    </w:p>
    <w:p w:rsidR="00223CCE" w:rsidRDefault="00223CCE">
      <w:pPr>
        <w:pStyle w:val="BodyText"/>
        <w:spacing w:before="1"/>
        <w:rPr>
          <w:b/>
          <w:sz w:val="21"/>
        </w:rPr>
      </w:pPr>
    </w:p>
    <w:p w:rsidR="00223CCE" w:rsidRDefault="00403155">
      <w:pPr>
        <w:pStyle w:val="BodyText"/>
        <w:spacing w:before="1"/>
        <w:ind w:left="1160" w:right="225"/>
        <w:jc w:val="both"/>
      </w:pPr>
      <w:r>
        <w:t>The contractor shall at his own cost provide his labour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labour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Clause 29</w:t>
      </w:r>
      <w:r>
        <w:rPr>
          <w:spacing w:val="-2"/>
        </w:rPr>
        <w:t xml:space="preserve"> </w:t>
      </w:r>
      <w:r>
        <w:t>:</w:t>
      </w:r>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Clause 30</w:t>
      </w:r>
      <w:r>
        <w:rPr>
          <w:spacing w:val="-2"/>
        </w:rPr>
        <w:t xml:space="preserve"> </w:t>
      </w:r>
      <w:r>
        <w:t>:</w:t>
      </w:r>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Clause 31</w:t>
      </w:r>
      <w:r>
        <w:rPr>
          <w:spacing w:val="-2"/>
        </w:rPr>
        <w:t xml:space="preserve"> </w:t>
      </w:r>
      <w:r>
        <w:t>:</w:t>
      </w:r>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Clause 32</w:t>
      </w:r>
      <w:r>
        <w:rPr>
          <w:spacing w:val="-2"/>
        </w:rPr>
        <w:t xml:space="preserve"> </w:t>
      </w:r>
      <w:r>
        <w:t>:</w:t>
      </w:r>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Clause 33 :</w:t>
      </w:r>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Clause 34</w:t>
      </w:r>
      <w:r>
        <w:rPr>
          <w:spacing w:val="-2"/>
        </w:rPr>
        <w:t xml:space="preserve"> </w:t>
      </w:r>
      <w:r>
        <w:t>:</w:t>
      </w:r>
      <w:r>
        <w:tab/>
        <w:t>Arbitration</w:t>
      </w:r>
    </w:p>
    <w:p w:rsidR="00223CCE" w:rsidRDefault="00223CCE">
      <w:pPr>
        <w:pStyle w:val="BodyText"/>
        <w:spacing w:before="1"/>
        <w:rPr>
          <w:b/>
          <w:sz w:val="21"/>
        </w:rPr>
      </w:pPr>
    </w:p>
    <w:p w:rsidR="00223CCE" w:rsidRDefault="00403155">
      <w:pPr>
        <w:pStyle w:val="BodyText"/>
        <w:ind w:left="1160" w:right="225"/>
        <w:jc w:val="both"/>
      </w:pPr>
      <w:r>
        <w:t>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of . payment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Clause 35</w:t>
      </w:r>
      <w:r>
        <w:rPr>
          <w:spacing w:val="-2"/>
        </w:rPr>
        <w:t xml:space="preserve"> </w:t>
      </w:r>
      <w:r>
        <w:t>:</w:t>
      </w:r>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Clause 36</w:t>
      </w:r>
      <w:r>
        <w:rPr>
          <w:spacing w:val="-2"/>
        </w:rPr>
        <w:t xml:space="preserve"> </w:t>
      </w:r>
      <w:r>
        <w:t>:</w:t>
      </w:r>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Clause 37</w:t>
      </w:r>
      <w:r>
        <w:rPr>
          <w:spacing w:val="-2"/>
        </w:rPr>
        <w:t xml:space="preserve"> </w:t>
      </w:r>
      <w:r>
        <w:t>:</w:t>
      </w:r>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Clause 38 :</w:t>
      </w:r>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No bricks for use on the work shall be manufactured within the limits of a Municipality, cantonment or notified area or within one Km. of the site of work. Any brics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Clause 40 :</w:t>
      </w:r>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Clause 41 :</w:t>
      </w:r>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Clause 42</w:t>
      </w:r>
      <w:r>
        <w:rPr>
          <w:spacing w:val="-2"/>
        </w:rPr>
        <w:t xml:space="preserve"> </w:t>
      </w:r>
      <w:r>
        <w:t>:</w:t>
      </w:r>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The special conditions shall be read and construed alongwith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The work to be performed under this contract consists of providing all labour,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It shall be understood that the tenderer has satisfied himself submitting his tender as to the nature and location of work, the general and local conditions including their bearing upon transportation, disposal, handling and availability of labour,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himself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The drawings enclosed with the tender specifications are only illustrative. The contractor would be required to complete the work even thought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(m.k.s.)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The contractor will have to proceed with the work as and when the drawings are released. At times, it may be necessary for the contractor to retard his his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to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The contractor shall make his own adequate arrangements for procuring clear water to be use in various work.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There may be variation in the individual item in the schedule during actual execution of the work. However, tendered unit rates shall remain firm upto a variation of +.25% of the contract value and subject to the provision that no variation of rates in individual items even beyond +.25% quantities shall be considered till the value of total work done varies beyond ±.25% of the tendered value. Tenderers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Each page of the tender or documents must be signed and dated by the tenderer. All writing shall be in ink only. Over writing, erasing etc. shall avoid. All cutting shall be dully attested by the tenderer.</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When a tenderer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signed by each member thereof or in the event of absence, he may authorize anybody to do so. Power of attorney in favour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T.D.R./F.D.R./N.S.C. dully pledged in favour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Canvassing in any form is strictly prohibited and in case any tenderer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Time is the essence of the contact and preference is likely to be given to a tenderer who will be in a position to complete the work in all details within the shortest possible time. The tenderer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(a) The drawings enclosed  with the documents are being made available for study in the  Division Office and are only preliminary drawings just to give the tenderer some ideas about the nature work. These are by no means final drawings. However, those drawings alongwith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If the Engineer-in-charge feels satisfied that he has sufficient reasons to do so, he shall ask the contractor to remove from the site of work any labour, chowkkidar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labour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The work may be divided amongst more than one contractor or only a part of the work may be awarded to the successful tenderer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The contractor shall at all times exercise reasonable and proper precautions for the safety of the labour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The name of authorized agent shall be intimated in writing to the Engineer-in-charge failing which the Engineer-in-charge will be free to assume his mate or munshi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tenderer shall within the time specified in the letter of indent; deposit such an additional sum which together with the Earnest Money already deposited at the time of submission of tender will to 3% of the value of the contract to </w:t>
      </w:r>
      <w:r>
        <w:rPr>
          <w:spacing w:val="2"/>
          <w:sz w:val="20"/>
        </w:rPr>
        <w:t xml:space="preserve">form </w:t>
      </w:r>
      <w:r>
        <w:rPr>
          <w:sz w:val="20"/>
        </w:rPr>
        <w:t>the initial security deposit. Failing to deposit this additional sum within the period specified will make the Earnest Money deposited by the tenderer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For work upto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w.e.f.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The laws, rules and regulations of all government authorities in India having jurisdiction over the work shall govern the work of this contract with the same force and effect as if incorporated in full into conract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The rates quoted by the tenderer shall remain valid for four (4) calendar months from the date of opening of tender. Rates quoted shall include all legal taxes such as sales tax. Local, royalty and control etc. as applicable.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Tender documents shall consist of the following documents all of which shall be submitted by the tenderer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r>
        <w:rPr>
          <w:sz w:val="20"/>
        </w:rPr>
        <w:t>tenderer.</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r>
        <w:rPr>
          <w:sz w:val="20"/>
        </w:rPr>
        <w:t>contrctor.</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The above mentioned documents submitted by the successful tenderer alongwith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kankar collection, Blank kankar collection. Timber, steel for use as reinforcement, Portland cement, Sand kankar lime, Building lime (quick lime or unslaked white lime usually called for lime), staked lime,</w:t>
      </w:r>
      <w:r>
        <w:rPr>
          <w:spacing w:val="-5"/>
          <w:sz w:val="18"/>
        </w:rPr>
        <w:t xml:space="preserve"> </w:t>
      </w:r>
      <w:r>
        <w:rPr>
          <w:sz w:val="18"/>
        </w:rPr>
        <w:t>clinder.</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work : </w:t>
      </w:r>
      <w:r>
        <w:rPr>
          <w:sz w:val="18"/>
        </w:rPr>
        <w:t>The earth in foundation and plinths ( Rock excavation) shall confirm to the U.P.P.W.D.  detailed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 xml:space="preserve">D.P.C. :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The stone Masonry of all nature shall confirm to the U.P.P.W.D. detailed specification No.8 (chapter-8) for Ashar, coursed stone Masonry, coursed Rubble stone Masonry, Random coursed Rubble Masonry, Randam Rubble Stone Masonry, Coolie-Wailling,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work : </w:t>
      </w:r>
      <w:r>
        <w:rPr>
          <w:sz w:val="18"/>
        </w:rPr>
        <w:t>The roof work of all nature shall confirm to the U.P.P.W.D. detailed specification No.11 (Chapter-11) for Jack Arch Rooting, flat roof finish in mud</w:t>
      </w:r>
      <w:r>
        <w:rPr>
          <w:spacing w:val="-10"/>
          <w:sz w:val="18"/>
        </w:rPr>
        <w:t xml:space="preserve"> </w:t>
      </w:r>
      <w:r>
        <w:rPr>
          <w:sz w:val="18"/>
        </w:rPr>
        <w:t>phuska.</w:t>
      </w:r>
    </w:p>
    <w:p w:rsidR="00223CCE" w:rsidRDefault="00403155">
      <w:pPr>
        <w:pStyle w:val="ListParagraph"/>
        <w:numPr>
          <w:ilvl w:val="0"/>
          <w:numId w:val="2"/>
        </w:numPr>
        <w:tabs>
          <w:tab w:val="left" w:pos="1161"/>
        </w:tabs>
        <w:spacing w:line="244" w:lineRule="auto"/>
        <w:ind w:right="222"/>
        <w:rPr>
          <w:sz w:val="18"/>
        </w:rPr>
      </w:pPr>
      <w:r>
        <w:rPr>
          <w:b/>
          <w:sz w:val="18"/>
        </w:rPr>
        <w:t xml:space="preserve">Celling: The </w:t>
      </w:r>
      <w:r>
        <w:rPr>
          <w:sz w:val="18"/>
        </w:rPr>
        <w:t>celling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The Plasters &amp; Pointing of all nature shall confirm to the U.P.P.W.D. detailed specification No. 13 (Chapter-13) for Portland cement plaster or lime cement plaster, white lime plaster or Kanker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The road work of all nature shall confirm to the U.P.W.D. detailed specification No.20 (Chapter-20) for Kanker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Ashphaltic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Precoated chips for painting work on roads and kanker</w:t>
      </w:r>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The contractor will also ensure license for contractor labour regulation and award 1970 and Uttar Pradesh Rules 1976 para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r>
              <w:rPr>
                <w:b/>
                <w:sz w:val="20"/>
              </w:rPr>
              <w:t>Ist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t>Sqm</w:t>
            </w:r>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t>Sqm</w:t>
            </w:r>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t>Sqm</w:t>
            </w:r>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t>Sqm</w:t>
            </w:r>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r>
              <w:rPr>
                <w:sz w:val="20"/>
              </w:rPr>
              <w:t>Sqm</w:t>
            </w:r>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r>
              <w:rPr>
                <w:sz w:val="20"/>
              </w:rPr>
              <w:t>Sqm</w:t>
            </w:r>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r>
              <w:rPr>
                <w:sz w:val="20"/>
              </w:rPr>
              <w:t>Sqm</w:t>
            </w:r>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25mm thick CC 1 : 2: 4 : in floo- Ring over</w:t>
            </w:r>
          </w:p>
        </w:tc>
        <w:tc>
          <w:tcPr>
            <w:tcW w:w="719" w:type="dxa"/>
          </w:tcPr>
          <w:p w:rsidR="00223CCE" w:rsidRDefault="00403155">
            <w:pPr>
              <w:pStyle w:val="TableParagraph"/>
              <w:spacing w:before="155"/>
              <w:ind w:left="35"/>
              <w:rPr>
                <w:sz w:val="20"/>
              </w:rPr>
            </w:pPr>
            <w:r>
              <w:rPr>
                <w:sz w:val="20"/>
              </w:rPr>
              <w:t>Sqm</w:t>
            </w:r>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Sheet I :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Sheet II :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Sheet III :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(c )</w:t>
      </w:r>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r>
        <w:rPr>
          <w:sz w:val="20"/>
        </w:rPr>
        <w:t>Upto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r>
        <w:rPr>
          <w:sz w:val="20"/>
        </w:rPr>
        <w:t>upto</w:t>
      </w:r>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r>
        <w:rPr>
          <w:sz w:val="20"/>
        </w:rPr>
        <w:t>Upto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r>
        <w:t>(Rupees</w:t>
      </w:r>
      <w:r>
        <w:tab/>
        <w:t>) per</w:t>
      </w:r>
      <w:r>
        <w:rPr>
          <w:spacing w:val="1"/>
        </w:rPr>
        <w:t xml:space="preserve"> </w:t>
      </w:r>
      <w:r>
        <w:t>Meter.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Hire charges per unit per work- ing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(on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(hereinagter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r>
        <w:t>contractor)</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r>
        <w:t>cum-Managing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AND in consideration of the due provisions, erection, execution, construction &amp; completion of the said works and the maintenance thereof, as aforesaid, the Corporation will pay to the contractor the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r>
        <w:rPr>
          <w:spacing w:val="-6"/>
        </w:rPr>
        <w:t xml:space="preserve"> </w:t>
      </w:r>
      <w:r>
        <w:t>)</w:t>
      </w:r>
      <w:r>
        <w:rPr>
          <w:spacing w:val="-2"/>
        </w:rPr>
        <w:t xml:space="preserve"> </w:t>
      </w:r>
      <w:r>
        <w:t>by</w:t>
      </w:r>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223CCE"/>
    <w:rsid w:val="000B78ED"/>
    <w:rsid w:val="000E59E3"/>
    <w:rsid w:val="00121EFA"/>
    <w:rsid w:val="001823A9"/>
    <w:rsid w:val="00182AA8"/>
    <w:rsid w:val="00223CCE"/>
    <w:rsid w:val="00280326"/>
    <w:rsid w:val="003D0B51"/>
    <w:rsid w:val="00403155"/>
    <w:rsid w:val="00460731"/>
    <w:rsid w:val="004B2D09"/>
    <w:rsid w:val="00506F06"/>
    <w:rsid w:val="005403AE"/>
    <w:rsid w:val="006B71D3"/>
    <w:rsid w:val="007E3F71"/>
    <w:rsid w:val="00811AA9"/>
    <w:rsid w:val="00826A7C"/>
    <w:rsid w:val="00867DCE"/>
    <w:rsid w:val="0092376C"/>
    <w:rsid w:val="009245DB"/>
    <w:rsid w:val="009768C2"/>
    <w:rsid w:val="00A070F7"/>
    <w:rsid w:val="00A113D2"/>
    <w:rsid w:val="00A6518C"/>
    <w:rsid w:val="00A932D6"/>
    <w:rsid w:val="00AB120F"/>
    <w:rsid w:val="00AC050B"/>
    <w:rsid w:val="00B15530"/>
    <w:rsid w:val="00B45F28"/>
    <w:rsid w:val="00BA131C"/>
    <w:rsid w:val="00C6736F"/>
    <w:rsid w:val="00C95652"/>
    <w:rsid w:val="00CB0047"/>
    <w:rsid w:val="00D57B0C"/>
    <w:rsid w:val="00DB5EC8"/>
    <w:rsid w:val="00EF51AB"/>
    <w:rsid w:val="00F0074C"/>
    <w:rsid w:val="00F52237"/>
    <w:rsid w:val="00FA57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34</Pages>
  <Words>13943</Words>
  <Characters>79481</Characters>
  <Application>Microsoft Office Word</Application>
  <DocSecurity>0</DocSecurity>
  <Lines>662</Lines>
  <Paragraphs>186</Paragraphs>
  <ScaleCrop>false</ScaleCrop>
  <Company/>
  <LinksUpToDate>false</LinksUpToDate>
  <CharactersWithSpaces>93238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19</cp:revision>
  <dcterms:created xsi:type="dcterms:W3CDTF">2021-10-23T08:45:00Z</dcterms:created>
  <dcterms:modified xsi:type="dcterms:W3CDTF">2022-01-06T08:01:00Z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